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R4-2405644</w:t>
      </w:r>
      <w:bookmarkStart w:id="16" w:name="_GoBack"/>
      <w:bookmarkEnd w:id="16"/>
    </w:p>
    <w:p>
      <w:pPr>
        <w:pStyle w:val="82"/>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38.101-</w:t>
            </w:r>
            <w:r>
              <w:rPr>
                <w:rFonts w:hint="eastAsia"/>
                <w:lang w:val="en-US" w:eastAsia="zh-CN"/>
              </w:rPr>
              <w:t>5</w:t>
            </w:r>
            <w:r>
              <w:rPr>
                <w:rFonts w:hint="eastAsia"/>
              </w:rPr>
              <w:t xml:space="preserve"> </w:t>
            </w:r>
            <w:r>
              <w:rPr>
                <w:rFonts w:hint="eastAsia"/>
                <w:lang w:val="en-US"/>
              </w:rPr>
              <w:t>Clause 10.6 </w:t>
            </w:r>
            <w:r>
              <w:rPr>
                <w:rFonts w:hint="eastAsia"/>
              </w:rPr>
              <w:t>Blocking characteristics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sz w:val="18"/>
                <w:szCs w:val="18"/>
                <w:lang w:eastAsia="ja-JP"/>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There are still lots of open issues for blocking requirement of NTN VSAT device.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To update the blocking requirements for NTN VSAT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 for NTN VSAT is not specify correctly.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bookmarkEnd w:id="1"/>
    <w:p>
      <w:pPr>
        <w:pStyle w:val="3"/>
      </w:pPr>
      <w:bookmarkStart w:id="2" w:name="_Toc29804725"/>
      <w:bookmarkStart w:id="3" w:name="_Toc21339508"/>
      <w:bookmarkStart w:id="4" w:name="_Toc163202198"/>
      <w:bookmarkStart w:id="5" w:name="_Toc161754004"/>
      <w:bookmarkStart w:id="6" w:name="_Toc161754625"/>
      <w:r>
        <w:rPr>
          <w:rFonts w:hint="eastAsia"/>
          <w:lang w:val="en-US"/>
        </w:rPr>
        <w:t>10</w:t>
      </w:r>
      <w:r>
        <w:t>.6</w:t>
      </w:r>
      <w:r>
        <w:tab/>
      </w:r>
      <w:r>
        <w:t>Blocking characteristics</w:t>
      </w:r>
      <w:bookmarkEnd w:id="2"/>
      <w:bookmarkEnd w:id="3"/>
      <w:bookmarkEnd w:id="4"/>
      <w:bookmarkEnd w:id="5"/>
      <w:bookmarkEnd w:id="6"/>
    </w:p>
    <w:p>
      <w:pPr>
        <w:pStyle w:val="4"/>
        <w:spacing w:line="260" w:lineRule="auto"/>
        <w:ind w:left="1417" w:hanging="1417"/>
        <w:rPr>
          <w:lang w:val="en-US"/>
        </w:rPr>
      </w:pPr>
      <w:bookmarkStart w:id="7" w:name="_Toc163202199"/>
      <w:bookmarkStart w:id="8" w:name="_Toc161754626"/>
      <w:bookmarkStart w:id="9" w:name="_Toc161754005"/>
      <w:r>
        <w:rPr>
          <w:rFonts w:hint="eastAsia"/>
          <w:lang w:val="en-US"/>
        </w:rPr>
        <w:t>10</w:t>
      </w:r>
      <w:r>
        <w:t>.</w:t>
      </w:r>
      <w:r>
        <w:rPr>
          <w:rFonts w:hint="eastAsia"/>
          <w:lang w:val="en-US"/>
        </w:rPr>
        <w:t>6</w:t>
      </w:r>
      <w:r>
        <w:t>.</w:t>
      </w:r>
      <w:r>
        <w:rPr>
          <w:rFonts w:hint="eastAsia"/>
          <w:lang w:val="en-US"/>
        </w:rPr>
        <w:t>1</w:t>
      </w:r>
      <w:r>
        <w:tab/>
      </w:r>
      <w:r>
        <w:t>General</w:t>
      </w:r>
      <w:bookmarkEnd w:id="7"/>
      <w:bookmarkEnd w:id="8"/>
      <w:bookmarkEnd w:id="9"/>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4"/>
        <w:spacing w:line="260" w:lineRule="auto"/>
        <w:ind w:left="1417" w:hanging="1417"/>
        <w:rPr>
          <w:lang w:val="en-US"/>
        </w:rPr>
      </w:pPr>
      <w:bookmarkStart w:id="10" w:name="_Toc161754627"/>
      <w:bookmarkStart w:id="11" w:name="_Toc163202200"/>
      <w:bookmarkStart w:id="12" w:name="_Toc161754006"/>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0"/>
      <w:bookmarkEnd w:id="11"/>
      <w:bookmarkEnd w:id="12"/>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.6.2-1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rPr>
                <w:rFonts w:cs="Arial"/>
              </w:rPr>
            </w:pPr>
            <w:r>
              <w:rPr>
                <w:rFonts w:cs="Arial"/>
              </w:rPr>
              <w:t>Power in Transmission Bandwidth Configuration</w:t>
            </w:r>
          </w:p>
        </w:tc>
        <w:tc>
          <w:tcPr>
            <w:tcW w:w="742" w:type="dxa"/>
          </w:tcPr>
          <w:p>
            <w:pPr>
              <w:pStyle w:val="53"/>
              <w:rPr>
                <w:rFonts w:cs="Arial"/>
              </w:rPr>
            </w:pPr>
            <w:r>
              <w:rPr>
                <w:rFonts w:cs="Arial"/>
              </w:rPr>
              <w:t>dBm</w:t>
            </w:r>
          </w:p>
        </w:tc>
        <w:tc>
          <w:tcPr>
            <w:tcW w:w="7293" w:type="dxa"/>
            <w:gridSpan w:val="4"/>
          </w:tcPr>
          <w:p>
            <w:pPr>
              <w:pStyle w:val="53"/>
              <w:rPr>
                <w:rFonts w:cs="Arial"/>
              </w:rPr>
            </w:pPr>
            <w:r>
              <w:rPr>
                <w:rFonts w:cs="Arial"/>
              </w:rPr>
              <w:t>REFSENS + 14 dB</w:t>
            </w:r>
          </w:p>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rPr>
            </w:pPr>
            <w:r>
              <w:rPr>
                <w:rFonts w:cs="Arial"/>
              </w:rPr>
              <w:t>50</w:t>
            </w:r>
          </w:p>
        </w:tc>
        <w:tc>
          <w:tcPr>
            <w:tcW w:w="1823" w:type="dxa"/>
          </w:tcPr>
          <w:p>
            <w:pPr>
              <w:pStyle w:val="53"/>
              <w:rPr>
                <w:rFonts w:cs="Arial"/>
              </w:rPr>
            </w:pPr>
            <w:r>
              <w:rPr>
                <w:rFonts w:cs="Arial"/>
              </w:rPr>
              <w:t>100</w:t>
            </w:r>
          </w:p>
        </w:tc>
        <w:tc>
          <w:tcPr>
            <w:tcW w:w="1823" w:type="dxa"/>
          </w:tcPr>
          <w:p>
            <w:pPr>
              <w:pStyle w:val="53"/>
              <w:rPr>
                <w:rFonts w:cs="Arial"/>
              </w:rPr>
            </w:pPr>
            <w:r>
              <w:rPr>
                <w:rFonts w:cs="Arial"/>
              </w:rPr>
              <w:t>200</w:t>
            </w:r>
          </w:p>
        </w:tc>
        <w:tc>
          <w:tcPr>
            <w:tcW w:w="1824" w:type="dxa"/>
          </w:tcPr>
          <w:p>
            <w:pPr>
              <w:pStyle w:val="53"/>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P</w:t>
            </w:r>
            <w:r>
              <w:rPr>
                <w:rFonts w:eastAsia="MS Mincho" w:cs="Arial"/>
                <w:bCs/>
                <w:vertAlign w:val="subscript"/>
              </w:rPr>
              <w:t>Interferer</w:t>
            </w:r>
          </w:p>
          <w:p>
            <w:pPr>
              <w:pStyle w:val="54"/>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53"/>
              <w:rPr>
                <w:rFonts w:cs="Arial"/>
              </w:rPr>
            </w:pPr>
            <w:r>
              <w:rPr>
                <w:rFonts w:cs="Arial"/>
              </w:rPr>
              <w:t>dBm</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4" w:type="dxa"/>
          </w:tcPr>
          <w:p>
            <w:pPr>
              <w:pStyle w:val="53"/>
              <w:rPr>
                <w:rFonts w:cs="Arial"/>
              </w:rPr>
            </w:pPr>
            <w:r>
              <w:rPr>
                <w:rFonts w:cs="Arial"/>
              </w:rPr>
              <w:t xml:space="preserve">REFSENS + </w:t>
            </w:r>
            <w:r>
              <w:rPr>
                <w:rFonts w:hint="eastAsia" w:cs="Arial"/>
                <w:lang w:val="en-US"/>
              </w:rPr>
              <w:t>[TBD]</w:t>
            </w:r>
            <w:r>
              <w:rPr>
                <w:rFonts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53"/>
              <w:rPr>
                <w:rFonts w:cs="Arial"/>
              </w:rPr>
            </w:pPr>
            <w:r>
              <w:rPr>
                <w:rFonts w:cs="Arial"/>
              </w:rPr>
              <w:t>MHz</w:t>
            </w:r>
          </w:p>
        </w:tc>
        <w:tc>
          <w:tcPr>
            <w:tcW w:w="1823" w:type="dxa"/>
          </w:tcPr>
          <w:p>
            <w:pPr>
              <w:pStyle w:val="53"/>
              <w:rPr>
                <w:rFonts w:cs="Arial"/>
              </w:rPr>
            </w:pPr>
            <w:r>
              <w:rPr>
                <w:rFonts w:cs="Arial"/>
              </w:rPr>
              <w:t>≤ -100 &amp; ≥ 100</w:t>
            </w:r>
          </w:p>
          <w:p>
            <w:pPr>
              <w:pStyle w:val="53"/>
              <w:rPr>
                <w:rFonts w:cs="Arial"/>
              </w:rPr>
            </w:pPr>
            <w:r>
              <w:rPr>
                <w:rFonts w:cs="Arial"/>
              </w:rPr>
              <w:t>NOTE 5</w:t>
            </w:r>
          </w:p>
        </w:tc>
        <w:tc>
          <w:tcPr>
            <w:tcW w:w="1823" w:type="dxa"/>
          </w:tcPr>
          <w:p>
            <w:pPr>
              <w:pStyle w:val="53"/>
              <w:rPr>
                <w:rFonts w:cs="Arial"/>
              </w:rPr>
            </w:pPr>
            <w:r>
              <w:rPr>
                <w:rFonts w:cs="Arial"/>
              </w:rPr>
              <w:t>≤ -200 &amp; ≥ 200</w:t>
            </w:r>
          </w:p>
          <w:p>
            <w:pPr>
              <w:pStyle w:val="53"/>
              <w:rPr>
                <w:rFonts w:cs="Arial"/>
              </w:rPr>
            </w:pPr>
            <w:r>
              <w:rPr>
                <w:rFonts w:cs="Arial"/>
              </w:rPr>
              <w:t>NOTE 5</w:t>
            </w:r>
          </w:p>
        </w:tc>
        <w:tc>
          <w:tcPr>
            <w:tcW w:w="1823" w:type="dxa"/>
          </w:tcPr>
          <w:p>
            <w:pPr>
              <w:pStyle w:val="53"/>
              <w:rPr>
                <w:rFonts w:cs="Arial"/>
              </w:rPr>
            </w:pPr>
            <w:r>
              <w:rPr>
                <w:rFonts w:cs="Arial"/>
              </w:rPr>
              <w:t>≤ -400 &amp; ≥ 400</w:t>
            </w:r>
          </w:p>
          <w:p>
            <w:pPr>
              <w:pStyle w:val="53"/>
              <w:rPr>
                <w:rFonts w:cs="Arial"/>
              </w:rPr>
            </w:pPr>
            <w:r>
              <w:rPr>
                <w:rFonts w:cs="Arial"/>
              </w:rPr>
              <w:t>NOTE 5</w:t>
            </w:r>
          </w:p>
        </w:tc>
        <w:tc>
          <w:tcPr>
            <w:tcW w:w="1824" w:type="dxa"/>
          </w:tcPr>
          <w:p>
            <w:pPr>
              <w:pStyle w:val="53"/>
              <w:rPr>
                <w:rFonts w:cs="Arial"/>
              </w:rPr>
            </w:pPr>
            <w:r>
              <w:rPr>
                <w:rFonts w:cs="Arial"/>
              </w:rPr>
              <w:t>≤ -800 &amp; ≥ 800</w:t>
            </w:r>
          </w:p>
          <w:p>
            <w:pPr>
              <w:pStyle w:val="53"/>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pPr>
            <w:r>
              <w:t>NOTE 1:</w:t>
            </w:r>
            <w:r>
              <w:tab/>
            </w:r>
            <w:r>
              <w:t>The interferer consists of the Reference measurement channel specified in Annex A.3.3.2 with one sided dynamic OCNG Pattern as described in Annex A.5.2.1 and set-up according to Annex C.</w:t>
            </w:r>
          </w:p>
          <w:p>
            <w:pPr>
              <w:pStyle w:val="67"/>
            </w:pPr>
            <w:r>
              <w:t>NOTE2:</w:t>
            </w:r>
            <w:r>
              <w:tab/>
            </w:r>
            <w:r>
              <w:t xml:space="preserve">The REFSENS power level is specified in Clause </w:t>
            </w:r>
            <w:r>
              <w:rPr>
                <w:rFonts w:hint="eastAsia"/>
                <w:lang w:val="en-US"/>
              </w:rPr>
              <w:t>10</w:t>
            </w:r>
            <w:r>
              <w:t xml:space="preserve">.3.2, which are applicable according to different </w:t>
            </w:r>
            <w:r>
              <w:rPr>
                <w:rFonts w:hint="eastAsia"/>
                <w:lang w:val="en-US"/>
              </w:rPr>
              <w:t>VSAT types</w:t>
            </w:r>
            <w:r>
              <w:t>.</w:t>
            </w:r>
          </w:p>
          <w:p>
            <w:pPr>
              <w:pStyle w:val="67"/>
            </w:pPr>
            <w:r>
              <w:t>NOTE 3:</w:t>
            </w:r>
            <w:r>
              <w:tab/>
            </w:r>
            <w:r>
              <w:t>The wanted signal consists of the reference measurement channel specified in Annex A.3.3.2 with one sided dynamic OCNG pattern</w:t>
            </w:r>
            <w:r>
              <w:rPr>
                <w:rFonts w:hint="eastAsia"/>
                <w:lang w:val="en-US"/>
              </w:rPr>
              <w:t xml:space="preserve"> </w:t>
            </w:r>
            <w:r>
              <w:t>as described in Annex A.5.2.1 and set-up according to Annex C.</w:t>
            </w:r>
          </w:p>
          <w:p>
            <w:pPr>
              <w:pStyle w:val="67"/>
            </w:pPr>
            <w:r>
              <w:t>NOTE 4:</w:t>
            </w:r>
            <w:r>
              <w:tab/>
            </w:r>
            <w:r>
              <w:t xml:space="preserve"> Void</w:t>
            </w:r>
          </w:p>
          <w:p>
            <w:pPr>
              <w:pStyle w:val="67"/>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67"/>
            </w:pPr>
            <w:r>
              <w:t>NOTE 6:</w:t>
            </w:r>
            <w:r>
              <w:tab/>
            </w:r>
            <w:r>
              <w:t>F</w:t>
            </w:r>
            <w:r>
              <w:rPr>
                <w:vertAlign w:val="subscript"/>
              </w:rPr>
              <w:t>Interferer</w:t>
            </w:r>
            <w:r>
              <w:t xml:space="preserve"> range values for unwanted modulated interfering signals are interferer center frequencies.</w:t>
            </w:r>
          </w:p>
          <w:p>
            <w:pPr>
              <w:pStyle w:val="67"/>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r>
              <w:rPr>
                <w:rFonts w:hint="eastAsia"/>
                <w:lang w:val="en-US"/>
              </w:rPr>
              <w:t>10</w:t>
            </w:r>
            <w:r>
              <w:t>.3.2.1-2</w:t>
            </w:r>
            <w:r>
              <w:rPr>
                <w:rFonts w:cs="Arial"/>
              </w:rPr>
              <w:t>.</w:t>
            </w:r>
          </w:p>
        </w:tc>
      </w:tr>
    </w:tbl>
    <w:p/>
    <w:p>
      <w:pPr>
        <w:pStyle w:val="4"/>
        <w:rPr>
          <w:lang w:val="en-US"/>
        </w:rPr>
      </w:pPr>
      <w:bookmarkStart w:id="13" w:name="_Toc163202201"/>
      <w:bookmarkStart w:id="14" w:name="_Toc161754628"/>
      <w:bookmarkStart w:id="15" w:name="_Toc161754007"/>
      <w:r>
        <w:rPr>
          <w:lang w:val="en-US"/>
        </w:rPr>
        <w:t>10.6.3</w:t>
      </w:r>
      <w:r>
        <w:rPr>
          <w:lang w:val="en-US"/>
        </w:rPr>
        <w:tab/>
      </w:r>
      <w:r>
        <w:rPr>
          <w:rFonts w:hint="eastAsia"/>
          <w:lang w:val="en-US"/>
        </w:rPr>
        <w:t>Minimum requirement</w:t>
      </w:r>
      <w:r>
        <w:t xml:space="preserve"> for </w:t>
      </w:r>
      <w:r>
        <w:rPr>
          <w:rFonts w:hint="eastAsia"/>
          <w:lang w:val="en-US"/>
        </w:rPr>
        <w:t>Fixed VSAT</w:t>
      </w:r>
      <w:bookmarkEnd w:id="13"/>
      <w:bookmarkEnd w:id="14"/>
      <w:bookmarkEnd w:id="15"/>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pPr>
            <w:r>
              <w:t>REFSENS + 14 dB</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1823" w:type="dxa"/>
          </w:tcPr>
          <w:p>
            <w:pPr>
              <w:pStyle w:val="53"/>
            </w:pPr>
            <w:r>
              <w:t xml:space="preserve">REFSENS + </w:t>
            </w:r>
            <w:r>
              <w:rPr>
                <w:rFonts w:hint="eastAsia"/>
                <w:lang w:val="en-US"/>
              </w:rPr>
              <w:t>[TBD]</w:t>
            </w:r>
            <w:r>
              <w:t xml:space="preserve"> dB</w:t>
            </w:r>
          </w:p>
        </w:tc>
        <w:tc>
          <w:tcPr>
            <w:tcW w:w="1823" w:type="dxa"/>
          </w:tcPr>
          <w:p>
            <w:pPr>
              <w:pStyle w:val="53"/>
            </w:pPr>
            <w:r>
              <w:t xml:space="preserve">REFSENS + </w:t>
            </w:r>
            <w:r>
              <w:rPr>
                <w:rFonts w:hint="eastAsia"/>
                <w:lang w:val="en-US"/>
              </w:rPr>
              <w:t>[TBD]</w:t>
            </w:r>
            <w:r>
              <w:t xml:space="preserve"> dB</w:t>
            </w:r>
          </w:p>
        </w:tc>
        <w:tc>
          <w:tcPr>
            <w:tcW w:w="1823" w:type="dxa"/>
          </w:tcPr>
          <w:p>
            <w:pPr>
              <w:pStyle w:val="53"/>
            </w:pPr>
            <w:r>
              <w:t xml:space="preserve">REFSENS + </w:t>
            </w:r>
            <w:r>
              <w:rPr>
                <w:rFonts w:hint="eastAsia"/>
                <w:lang w:val="en-US"/>
              </w:rPr>
              <w:t>[TBD]</w:t>
            </w:r>
            <w:r>
              <w:t xml:space="preserve"> dB</w:t>
            </w:r>
          </w:p>
        </w:tc>
        <w:tc>
          <w:tcPr>
            <w:tcW w:w="1824" w:type="dxa"/>
          </w:tcPr>
          <w:p>
            <w:pPr>
              <w:pStyle w:val="53"/>
            </w:pPr>
            <w:r>
              <w:t xml:space="preserve">REFSENS + </w:t>
            </w:r>
            <w:r>
              <w:rPr>
                <w:rFonts w:hint="eastAsia"/>
                <w:lang w:val="en-US"/>
              </w:rPr>
              <w:t>[TBD]</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p>
          <w:p>
            <w:pPr>
              <w:pStyle w:val="67"/>
              <w:rPr>
                <w:rFonts w:eastAsia="MS Mincho"/>
              </w:rPr>
            </w:pPr>
            <w:r>
              <w:rPr>
                <w:rFonts w:eastAsia="MS Mincho"/>
              </w:rPr>
              <w:t>NOTE2:</w:t>
            </w:r>
            <w:r>
              <w:rPr>
                <w:rFonts w:eastAsia="MS Mincho"/>
              </w:rPr>
              <w:tab/>
            </w:r>
            <w:r>
              <w:rPr>
                <w:rFonts w:eastAsia="MS Mincho"/>
              </w:rPr>
              <w:t xml:space="preserve">The REFSENS power level is specified in Clause </w:t>
            </w:r>
            <w:r>
              <w:rPr>
                <w:rFonts w:hint="eastAsia"/>
                <w:lang w:val="en-US"/>
              </w:rPr>
              <w:t>10</w:t>
            </w:r>
            <w:r>
              <w:rPr>
                <w:rFonts w:eastAsia="MS Mincho"/>
              </w:rPr>
              <w:t xml:space="preserve">.3.2, which are applicable according to different </w:t>
            </w:r>
            <w:r>
              <w:rPr>
                <w:rFonts w:hint="eastAsia"/>
                <w:lang w:val="en-US"/>
              </w:rPr>
              <w:t>VSAT types</w:t>
            </w:r>
            <w:r>
              <w:rPr>
                <w:rFonts w:eastAsia="MS Mincho"/>
              </w:rPr>
              <w:t>.</w:t>
            </w:r>
          </w:p>
          <w:p>
            <w:pPr>
              <w:pStyle w:val="67"/>
              <w:rPr>
                <w:rFonts w:eastAsia="MS Mincho"/>
              </w:rPr>
            </w:pPr>
            <w:r>
              <w:rPr>
                <w:rFonts w:eastAsia="MS Mincho"/>
              </w:rPr>
              <w:t>NOTE 3:</w:t>
            </w:r>
            <w:r>
              <w:rPr>
                <w:rFonts w:eastAsia="MS Mincho"/>
              </w:rPr>
              <w:tab/>
            </w:r>
            <w:r>
              <w:rPr>
                <w:rFonts w:eastAsia="MS Mincho"/>
              </w:rPr>
              <w:t>The wanted signal consists of the reference measurement channel specified in Annex A.3.3.2 with one sided dynamic OCNG pattern</w:t>
            </w:r>
            <w:r>
              <w:rPr>
                <w:rFonts w:hint="eastAsia"/>
                <w:lang w:val="en-US"/>
              </w:rPr>
              <w:t xml:space="preserve"> </w:t>
            </w:r>
            <w:r>
              <w:rPr>
                <w:rFonts w:eastAsia="MS Mincho"/>
              </w:rPr>
              <w:t>as described in Annex A.5.2.1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.3.2.1-2</w:t>
            </w:r>
            <w:r>
              <w:rPr>
                <w:rFonts w:eastAsia="MS Mincho" w:cs="Arial"/>
              </w:rPr>
              <w:t>.</w:t>
            </w:r>
          </w:p>
        </w:tc>
      </w:tr>
    </w:tbl>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swiss"/>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926D1"/>
    <w:rsid w:val="02DE2621"/>
    <w:rsid w:val="02FA74BD"/>
    <w:rsid w:val="05CE3D42"/>
    <w:rsid w:val="06C57D9C"/>
    <w:rsid w:val="08E05F28"/>
    <w:rsid w:val="0AAD40ED"/>
    <w:rsid w:val="0AE559EE"/>
    <w:rsid w:val="0B946E7B"/>
    <w:rsid w:val="0BD50F1A"/>
    <w:rsid w:val="0C0167E7"/>
    <w:rsid w:val="0C3E3B91"/>
    <w:rsid w:val="0D466A32"/>
    <w:rsid w:val="0E3070AB"/>
    <w:rsid w:val="0E6F6FE2"/>
    <w:rsid w:val="0EE17E55"/>
    <w:rsid w:val="0F49084F"/>
    <w:rsid w:val="11A3045E"/>
    <w:rsid w:val="141931E8"/>
    <w:rsid w:val="14460F71"/>
    <w:rsid w:val="14E35C7A"/>
    <w:rsid w:val="14E63AD5"/>
    <w:rsid w:val="155F2405"/>
    <w:rsid w:val="15717D09"/>
    <w:rsid w:val="15E66BA1"/>
    <w:rsid w:val="18AE64DD"/>
    <w:rsid w:val="19332637"/>
    <w:rsid w:val="19637EE7"/>
    <w:rsid w:val="1A3271C0"/>
    <w:rsid w:val="1AB653D0"/>
    <w:rsid w:val="1AF440D5"/>
    <w:rsid w:val="1CDB5968"/>
    <w:rsid w:val="1CDF74BF"/>
    <w:rsid w:val="1D153C52"/>
    <w:rsid w:val="1E81151C"/>
    <w:rsid w:val="1EE909EA"/>
    <w:rsid w:val="1FA429A6"/>
    <w:rsid w:val="23AB3BDD"/>
    <w:rsid w:val="26AC220D"/>
    <w:rsid w:val="26DB6D40"/>
    <w:rsid w:val="270F3631"/>
    <w:rsid w:val="27A1156C"/>
    <w:rsid w:val="27B22717"/>
    <w:rsid w:val="28901957"/>
    <w:rsid w:val="289F310D"/>
    <w:rsid w:val="29826EE0"/>
    <w:rsid w:val="299411CE"/>
    <w:rsid w:val="29FE5DEB"/>
    <w:rsid w:val="2B881690"/>
    <w:rsid w:val="2BC3581B"/>
    <w:rsid w:val="2D394EC2"/>
    <w:rsid w:val="2DDD39DC"/>
    <w:rsid w:val="2E717334"/>
    <w:rsid w:val="2EFE017D"/>
    <w:rsid w:val="2F5B0341"/>
    <w:rsid w:val="30084BA4"/>
    <w:rsid w:val="30155912"/>
    <w:rsid w:val="302A5BB6"/>
    <w:rsid w:val="30AC0E0D"/>
    <w:rsid w:val="313B4368"/>
    <w:rsid w:val="326064D2"/>
    <w:rsid w:val="329A67EF"/>
    <w:rsid w:val="32D11EE7"/>
    <w:rsid w:val="33DC1427"/>
    <w:rsid w:val="34F526D3"/>
    <w:rsid w:val="35C03177"/>
    <w:rsid w:val="35F2741E"/>
    <w:rsid w:val="364F18A8"/>
    <w:rsid w:val="367A6891"/>
    <w:rsid w:val="36823ADC"/>
    <w:rsid w:val="37133773"/>
    <w:rsid w:val="372C7532"/>
    <w:rsid w:val="38D15729"/>
    <w:rsid w:val="39954F08"/>
    <w:rsid w:val="39EF1BAF"/>
    <w:rsid w:val="3A5E022F"/>
    <w:rsid w:val="3B4173DE"/>
    <w:rsid w:val="3CE9461E"/>
    <w:rsid w:val="3DA130F6"/>
    <w:rsid w:val="3E8B4055"/>
    <w:rsid w:val="3ECC6B8B"/>
    <w:rsid w:val="3EDB1F8C"/>
    <w:rsid w:val="414371A1"/>
    <w:rsid w:val="41D52CB4"/>
    <w:rsid w:val="42461C3A"/>
    <w:rsid w:val="45185DAE"/>
    <w:rsid w:val="45931AF9"/>
    <w:rsid w:val="468A31C6"/>
    <w:rsid w:val="46C04AE1"/>
    <w:rsid w:val="47A74E9B"/>
    <w:rsid w:val="48911CF9"/>
    <w:rsid w:val="49370996"/>
    <w:rsid w:val="49B368B7"/>
    <w:rsid w:val="4B6F6C84"/>
    <w:rsid w:val="4B946370"/>
    <w:rsid w:val="4C36546E"/>
    <w:rsid w:val="4C60096A"/>
    <w:rsid w:val="4CC04072"/>
    <w:rsid w:val="4D553797"/>
    <w:rsid w:val="4DDA6DAB"/>
    <w:rsid w:val="4DE9476A"/>
    <w:rsid w:val="4E100A4E"/>
    <w:rsid w:val="4E4C73A3"/>
    <w:rsid w:val="4F89078D"/>
    <w:rsid w:val="4F9564D6"/>
    <w:rsid w:val="525368C4"/>
    <w:rsid w:val="53525846"/>
    <w:rsid w:val="535C24BB"/>
    <w:rsid w:val="5377138E"/>
    <w:rsid w:val="544A1174"/>
    <w:rsid w:val="54B46905"/>
    <w:rsid w:val="552E2FE9"/>
    <w:rsid w:val="5660633F"/>
    <w:rsid w:val="57672F12"/>
    <w:rsid w:val="576D2096"/>
    <w:rsid w:val="59156B7C"/>
    <w:rsid w:val="5B28211D"/>
    <w:rsid w:val="5B951495"/>
    <w:rsid w:val="5BDF4B3B"/>
    <w:rsid w:val="5C0B39BF"/>
    <w:rsid w:val="5E5C4E29"/>
    <w:rsid w:val="5EBC76FA"/>
    <w:rsid w:val="5F566E12"/>
    <w:rsid w:val="601C63BD"/>
    <w:rsid w:val="61144A0A"/>
    <w:rsid w:val="614D4E1D"/>
    <w:rsid w:val="63901333"/>
    <w:rsid w:val="63D713EB"/>
    <w:rsid w:val="64FA1D73"/>
    <w:rsid w:val="67CA260B"/>
    <w:rsid w:val="68EC2998"/>
    <w:rsid w:val="6A5D6907"/>
    <w:rsid w:val="6A8763F3"/>
    <w:rsid w:val="6BAA0D69"/>
    <w:rsid w:val="6BB13803"/>
    <w:rsid w:val="6BCE3836"/>
    <w:rsid w:val="6C3C5800"/>
    <w:rsid w:val="6E5805C6"/>
    <w:rsid w:val="6EB475B1"/>
    <w:rsid w:val="6FCD12F8"/>
    <w:rsid w:val="6FF719FD"/>
    <w:rsid w:val="70CA03E7"/>
    <w:rsid w:val="711D05E4"/>
    <w:rsid w:val="71371314"/>
    <w:rsid w:val="720C087B"/>
    <w:rsid w:val="72EC51B3"/>
    <w:rsid w:val="73673A04"/>
    <w:rsid w:val="740E62F8"/>
    <w:rsid w:val="76660BB1"/>
    <w:rsid w:val="769412CB"/>
    <w:rsid w:val="77184757"/>
    <w:rsid w:val="771F2598"/>
    <w:rsid w:val="77F15B3D"/>
    <w:rsid w:val="7A4E7237"/>
    <w:rsid w:val="7A610456"/>
    <w:rsid w:val="7A7D5EE5"/>
    <w:rsid w:val="7D1C60D1"/>
    <w:rsid w:val="7D6013F3"/>
    <w:rsid w:val="7D6905A3"/>
    <w:rsid w:val="7EFC1D3B"/>
    <w:rsid w:val="7F65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2024-04-08T16:01:23Z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